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52</w:t>
      </w:r>
      <w:r>
        <w:rPr>
          <w:rFonts w:ascii="Times New Roman" w:eastAsia="Times New Roman" w:hAnsi="Times New Roman" w:cs="Times New Roman"/>
          <w:sz w:val="25"/>
          <w:szCs w:val="25"/>
        </w:rPr>
        <w:t>8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ТОПЛИВНАЯ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Гордиенко Константина Васильевича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Гордиенко Константин Васильевич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генеральным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«ЮГОРСКАЯ ТОПЛИВНАЯ КОМПАНИЯ»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Карла</w:t>
      </w:r>
      <w:r>
        <w:rPr>
          <w:b w:val="0"/>
          <w:bCs w:val="0"/>
          <w:i w:val="0"/>
          <w:sz w:val="25"/>
          <w:szCs w:val="25"/>
        </w:rPr>
        <w:t xml:space="preserve"> Маркса д.17 офис 510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Гордиенко К.В.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</w:t>
      </w:r>
      <w:r>
        <w:rPr>
          <w:b w:val="0"/>
          <w:bCs w:val="0"/>
          <w:i w:val="0"/>
          <w:sz w:val="25"/>
          <w:szCs w:val="25"/>
        </w:rPr>
        <w:t>мени судебного заседания извещался</w:t>
      </w:r>
      <w:r>
        <w:rPr>
          <w:b w:val="0"/>
          <w:bCs w:val="0"/>
          <w:i w:val="0"/>
          <w:sz w:val="25"/>
          <w:szCs w:val="25"/>
        </w:rPr>
        <w:t xml:space="preserve"> 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направления судебной повестки, которая возвращена суду с отметкой об истечении срока хранения</w:t>
      </w:r>
      <w:r>
        <w:rPr>
          <w:b w:val="0"/>
          <w:bCs w:val="0"/>
          <w:i w:val="0"/>
          <w:sz w:val="25"/>
          <w:szCs w:val="25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Гордиенко К.В.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ТОПЛИВНАЯ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Гордиенко К.В.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ТОПЛИВНАЯ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Карла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Маркса д.17 офис 510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</w:t>
      </w:r>
      <w:r>
        <w:rPr>
          <w:rFonts w:ascii="Times New Roman" w:eastAsia="Times New Roman" w:hAnsi="Times New Roman" w:cs="Times New Roman"/>
          <w:sz w:val="25"/>
          <w:szCs w:val="25"/>
        </w:rPr>
        <w:t>86002613200441400001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>; копией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ТОПЛИВНАЯ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Гордиенко К.В.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ТОПЛИВНАЯ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Гордиенко К.В.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Гордиенко К.В.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Гордиенко К.В.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генерального 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«ЮГОРСКАЯ ТОПЛИВНАЯ КОМПАНИЯ»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Гордиенко Константина Васильевича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